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EFE90" w14:textId="2D9FF69E" w:rsidR="003B0FEE" w:rsidRDefault="003B0FEE" w:rsidP="003B0FEE">
      <w:pPr>
        <w:spacing w:after="0" w:line="240" w:lineRule="auto"/>
      </w:pPr>
      <w:r>
        <w:rPr>
          <w:noProof/>
        </w:rPr>
        <w:drawing>
          <wp:inline distT="0" distB="0" distL="0" distR="0" wp14:anchorId="204D54D8" wp14:editId="386FA1D3">
            <wp:extent cx="5731510" cy="8496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849630"/>
                    </a:xfrm>
                    <a:prstGeom prst="rect">
                      <a:avLst/>
                    </a:prstGeom>
                  </pic:spPr>
                </pic:pic>
              </a:graphicData>
            </a:graphic>
          </wp:inline>
        </w:drawing>
      </w:r>
    </w:p>
    <w:p w14:paraId="6CC4D281" w14:textId="77777777" w:rsidR="003B0FEE" w:rsidRDefault="003B0FEE" w:rsidP="003B0FEE">
      <w:pPr>
        <w:spacing w:after="0" w:line="240" w:lineRule="auto"/>
      </w:pPr>
    </w:p>
    <w:p w14:paraId="58AFD14A" w14:textId="05AAAF98" w:rsidR="003B0FEE" w:rsidRDefault="003B0FEE" w:rsidP="003B0FEE">
      <w:pPr>
        <w:spacing w:after="0" w:line="240" w:lineRule="auto"/>
        <w:rPr>
          <w:rFonts w:ascii="Verdana" w:eastAsia="Times New Roman" w:hAnsi="Verdana" w:cs="Times New Roman"/>
          <w:color w:val="171717"/>
          <w:sz w:val="18"/>
          <w:szCs w:val="18"/>
          <w:shd w:val="clear" w:color="auto" w:fill="FFFFFF"/>
          <w:lang w:eastAsia="en-GB"/>
        </w:rPr>
      </w:pPr>
      <w:hyperlink r:id="rId6" w:history="1">
        <w:r>
          <w:rPr>
            <w:rStyle w:val="Hyperlink"/>
          </w:rPr>
          <w:t>International BIM Toolkit | Centre for Digital Built Britain (cam.ac.uk)</w:t>
        </w:r>
      </w:hyperlink>
    </w:p>
    <w:p w14:paraId="6239CCB1" w14:textId="77777777" w:rsidR="003B0FEE" w:rsidRDefault="003B0FEE" w:rsidP="003B0FEE">
      <w:pPr>
        <w:spacing w:after="0" w:line="240" w:lineRule="auto"/>
        <w:rPr>
          <w:rFonts w:ascii="Verdana" w:eastAsia="Times New Roman" w:hAnsi="Verdana" w:cs="Times New Roman"/>
          <w:color w:val="171717"/>
          <w:sz w:val="18"/>
          <w:szCs w:val="18"/>
          <w:shd w:val="clear" w:color="auto" w:fill="FFFFFF"/>
          <w:lang w:eastAsia="en-GB"/>
        </w:rPr>
      </w:pPr>
    </w:p>
    <w:p w14:paraId="3518DF36" w14:textId="6BFCF46C" w:rsidR="003B0FEE" w:rsidRPr="003B0FEE" w:rsidRDefault="003B0FEE" w:rsidP="003B0FEE">
      <w:pPr>
        <w:spacing w:after="0" w:line="240" w:lineRule="auto"/>
        <w:rPr>
          <w:rFonts w:ascii="Times New Roman" w:eastAsia="Times New Roman" w:hAnsi="Times New Roman" w:cs="Times New Roman"/>
          <w:sz w:val="24"/>
          <w:szCs w:val="24"/>
          <w:lang w:eastAsia="en-GB"/>
        </w:rPr>
      </w:pPr>
      <w:r w:rsidRPr="003B0FEE">
        <w:rPr>
          <w:rFonts w:ascii="Verdana" w:eastAsia="Times New Roman" w:hAnsi="Verdana" w:cs="Times New Roman"/>
          <w:color w:val="171717"/>
          <w:sz w:val="18"/>
          <w:szCs w:val="18"/>
          <w:shd w:val="clear" w:color="auto" w:fill="FFFFFF"/>
          <w:lang w:eastAsia="en-GB"/>
        </w:rPr>
        <w:t>BIM Maturity Selection Guide showing how documents can be developed over time</w:t>
      </w:r>
    </w:p>
    <w:p w14:paraId="1637F3EF"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w:t>
      </w:r>
    </w:p>
    <w:p w14:paraId="7B95DF14"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w:t>
      </w:r>
    </w:p>
    <w:p w14:paraId="3F9BF881"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The international BIM Toolkit has been created following collaborative work led by CDBB International, supporting the UK Government’s Prosperity funded Global Infrastructure Programme (GIP).</w:t>
      </w:r>
    </w:p>
    <w:p w14:paraId="5D99389D"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Since 2018, CDBB’s International team has been working with government officials and industry stakeholders in partner countries across Latin America and Asia to identify the adaptations required for BIM implementation to meet local cultural, </w:t>
      </w:r>
      <w:proofErr w:type="gramStart"/>
      <w:r w:rsidRPr="003B0FEE">
        <w:rPr>
          <w:rFonts w:ascii="Verdana" w:eastAsia="Times New Roman" w:hAnsi="Verdana" w:cs="Times New Roman"/>
          <w:color w:val="171717"/>
          <w:sz w:val="18"/>
          <w:szCs w:val="18"/>
          <w:lang w:eastAsia="en-GB"/>
        </w:rPr>
        <w:t>contractual</w:t>
      </w:r>
      <w:proofErr w:type="gramEnd"/>
      <w:r w:rsidRPr="003B0FEE">
        <w:rPr>
          <w:rFonts w:ascii="Verdana" w:eastAsia="Times New Roman" w:hAnsi="Verdana" w:cs="Times New Roman"/>
          <w:color w:val="171717"/>
          <w:sz w:val="18"/>
          <w:szCs w:val="18"/>
          <w:lang w:eastAsia="en-GB"/>
        </w:rPr>
        <w:t xml:space="preserve"> and legal conditions and, importantly, to deliver on the desired national outcomes for each country. </w:t>
      </w:r>
    </w:p>
    <w:p w14:paraId="5A1DD160"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This international initiative brought together the Foreign Commonwealth and Development Office (FCDO), the Department for Business, Energy &amp; Industrial Strategy (BEIS) and the Infrastructure and Projects Authority (IPA) to foster infrastructure development that helps the partner countries to improve their economic, </w:t>
      </w:r>
      <w:proofErr w:type="gramStart"/>
      <w:r w:rsidRPr="003B0FEE">
        <w:rPr>
          <w:rFonts w:ascii="Verdana" w:eastAsia="Times New Roman" w:hAnsi="Verdana" w:cs="Times New Roman"/>
          <w:color w:val="171717"/>
          <w:sz w:val="18"/>
          <w:szCs w:val="18"/>
          <w:lang w:eastAsia="en-GB"/>
        </w:rPr>
        <w:t>environmental</w:t>
      </w:r>
      <w:proofErr w:type="gramEnd"/>
      <w:r w:rsidRPr="003B0FEE">
        <w:rPr>
          <w:rFonts w:ascii="Verdana" w:eastAsia="Times New Roman" w:hAnsi="Verdana" w:cs="Times New Roman"/>
          <w:color w:val="171717"/>
          <w:sz w:val="18"/>
          <w:szCs w:val="18"/>
          <w:lang w:eastAsia="en-GB"/>
        </w:rPr>
        <w:t xml:space="preserve"> and social conditions.</w:t>
      </w:r>
    </w:p>
    <w:p w14:paraId="44F630C2"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w:t>
      </w:r>
    </w:p>
    <w:p w14:paraId="33B956FF" w14:textId="77777777" w:rsidR="003B0FEE" w:rsidRPr="003B0FEE" w:rsidRDefault="003B0FEE" w:rsidP="003B0FEE">
      <w:pPr>
        <w:shd w:val="clear" w:color="auto" w:fill="FFFFFF"/>
        <w:spacing w:after="150" w:line="375" w:lineRule="atLeast"/>
        <w:textAlignment w:val="baseline"/>
        <w:outlineLvl w:val="1"/>
        <w:rPr>
          <w:rFonts w:ascii="Verdana" w:eastAsia="Times New Roman" w:hAnsi="Verdana" w:cs="Times New Roman"/>
          <w:b/>
          <w:bCs/>
          <w:color w:val="003E74"/>
          <w:sz w:val="29"/>
          <w:szCs w:val="29"/>
          <w:lang w:eastAsia="en-GB"/>
        </w:rPr>
      </w:pPr>
      <w:r w:rsidRPr="003B0FEE">
        <w:rPr>
          <w:rFonts w:ascii="Verdana" w:eastAsia="Times New Roman" w:hAnsi="Verdana" w:cs="Times New Roman"/>
          <w:b/>
          <w:bCs/>
          <w:color w:val="003E74"/>
          <w:sz w:val="29"/>
          <w:szCs w:val="29"/>
          <w:lang w:eastAsia="en-GB"/>
        </w:rPr>
        <w:t>A truly international BIM Toolkit</w:t>
      </w:r>
    </w:p>
    <w:p w14:paraId="684B4A47" w14:textId="78A7B501"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The Toolkit was formed to address a knowledge gap observed at </w:t>
      </w:r>
      <w:r w:rsidR="00BB1F05">
        <w:rPr>
          <w:rFonts w:ascii="Verdana" w:eastAsia="Times New Roman" w:hAnsi="Verdana" w:cs="Times New Roman"/>
          <w:color w:val="171717"/>
          <w:sz w:val="18"/>
          <w:szCs w:val="18"/>
          <w:lang w:eastAsia="en-GB"/>
        </w:rPr>
        <w:t xml:space="preserve">the </w:t>
      </w:r>
      <w:r w:rsidRPr="003B0FEE">
        <w:rPr>
          <w:rFonts w:ascii="Verdana" w:eastAsia="Times New Roman" w:hAnsi="Verdana" w:cs="Times New Roman"/>
          <w:color w:val="171717"/>
          <w:sz w:val="18"/>
          <w:szCs w:val="18"/>
          <w:lang w:eastAsia="en-GB"/>
        </w:rPr>
        <w:t xml:space="preserve">international level of having a set of tools for introducing Building Information Modelling (BIM) to public procurement practices and project delivery. It is a set of guidance and template documents, aligned with the ISO 19650 series of standards and comprises key components facilitating </w:t>
      </w:r>
      <w:r w:rsidR="00BB1F05">
        <w:rPr>
          <w:rFonts w:ascii="Verdana" w:eastAsia="Times New Roman" w:hAnsi="Verdana" w:cs="Times New Roman"/>
          <w:color w:val="171717"/>
          <w:sz w:val="18"/>
          <w:szCs w:val="18"/>
          <w:lang w:eastAsia="en-GB"/>
        </w:rPr>
        <w:t xml:space="preserve">the </w:t>
      </w:r>
      <w:r w:rsidRPr="003B0FEE">
        <w:rPr>
          <w:rFonts w:ascii="Verdana" w:eastAsia="Times New Roman" w:hAnsi="Verdana" w:cs="Times New Roman"/>
          <w:color w:val="171717"/>
          <w:sz w:val="18"/>
          <w:szCs w:val="18"/>
          <w:lang w:eastAsia="en-GB"/>
        </w:rPr>
        <w:t>implementation of best-practice information management processes, for organisations at every level of BIM adoption.</w:t>
      </w:r>
    </w:p>
    <w:p w14:paraId="2B6D773C"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The overall aim is to support different countries with the creation of their technical BIM framework. This collection of knowledge products is the culmination of input from over 200 contributors over a three-year collaboration period.</w:t>
      </w:r>
    </w:p>
    <w:p w14:paraId="218412CA"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w:t>
      </w:r>
    </w:p>
    <w:p w14:paraId="62D188A0" w14:textId="77777777" w:rsidR="003B0FEE" w:rsidRPr="003B0FEE" w:rsidRDefault="003B0FEE" w:rsidP="003B0FEE">
      <w:pPr>
        <w:shd w:val="clear" w:color="auto" w:fill="FFFFFF"/>
        <w:spacing w:after="150" w:line="375" w:lineRule="atLeast"/>
        <w:textAlignment w:val="baseline"/>
        <w:outlineLvl w:val="1"/>
        <w:rPr>
          <w:rFonts w:ascii="Verdana" w:eastAsia="Times New Roman" w:hAnsi="Verdana" w:cs="Times New Roman"/>
          <w:b/>
          <w:bCs/>
          <w:color w:val="003E74"/>
          <w:sz w:val="29"/>
          <w:szCs w:val="29"/>
          <w:lang w:eastAsia="en-GB"/>
        </w:rPr>
      </w:pPr>
      <w:r w:rsidRPr="003B0FEE">
        <w:rPr>
          <w:rFonts w:ascii="Verdana" w:eastAsia="Times New Roman" w:hAnsi="Verdana" w:cs="Times New Roman"/>
          <w:b/>
          <w:bCs/>
          <w:color w:val="003E74"/>
          <w:sz w:val="29"/>
          <w:szCs w:val="29"/>
          <w:lang w:eastAsia="en-GB"/>
        </w:rPr>
        <w:t>How to access and use the Toolkit</w:t>
      </w:r>
    </w:p>
    <w:p w14:paraId="1B7359A3" w14:textId="5F3BAC0F"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Read and download the overview document first. It explains the various components of the Toolkit, how to use each of the resources, and provides advice on how to best start </w:t>
      </w:r>
      <w:r w:rsidR="00BB1F05">
        <w:rPr>
          <w:rFonts w:ascii="Verdana" w:eastAsia="Times New Roman" w:hAnsi="Verdana" w:cs="Times New Roman"/>
          <w:color w:val="171717"/>
          <w:sz w:val="18"/>
          <w:szCs w:val="18"/>
          <w:lang w:eastAsia="en-GB"/>
        </w:rPr>
        <w:t xml:space="preserve">with </w:t>
      </w:r>
      <w:r w:rsidRPr="003B0FEE">
        <w:rPr>
          <w:rFonts w:ascii="Verdana" w:eastAsia="Times New Roman" w:hAnsi="Verdana" w:cs="Times New Roman"/>
          <w:color w:val="171717"/>
          <w:sz w:val="18"/>
          <w:szCs w:val="18"/>
          <w:lang w:eastAsia="en-GB"/>
        </w:rPr>
        <w:t>your journey depending on your BIM maturity.</w:t>
      </w:r>
    </w:p>
    <w:p w14:paraId="33429131"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The Toolkit has been developed, </w:t>
      </w:r>
      <w:proofErr w:type="gramStart"/>
      <w:r w:rsidRPr="003B0FEE">
        <w:rPr>
          <w:rFonts w:ascii="Verdana" w:eastAsia="Times New Roman" w:hAnsi="Verdana" w:cs="Times New Roman"/>
          <w:color w:val="171717"/>
          <w:sz w:val="18"/>
          <w:szCs w:val="18"/>
          <w:lang w:eastAsia="en-GB"/>
        </w:rPr>
        <w:t>tested</w:t>
      </w:r>
      <w:proofErr w:type="gramEnd"/>
      <w:r w:rsidRPr="003B0FEE">
        <w:rPr>
          <w:rFonts w:ascii="Verdana" w:eastAsia="Times New Roman" w:hAnsi="Verdana" w:cs="Times New Roman"/>
          <w:color w:val="171717"/>
          <w:sz w:val="18"/>
          <w:szCs w:val="18"/>
          <w:lang w:eastAsia="en-GB"/>
        </w:rPr>
        <w:t xml:space="preserve"> and refined by infrastructure procurement organisations and projects across six Latin American and SE Asian countries. As part of the GIP, ‘pathfinder countries’ were identified to introduce the BIM methodology to their public policy, public procurers and pathfinder projects. These projects included essential social and economic infrastructure and provided an opportunity to apply the adopted and adapted methodologies to deliver benefits to people and places.</w:t>
      </w:r>
    </w:p>
    <w:p w14:paraId="1BC8C983" w14:textId="6E565926" w:rsidR="00BB1F05"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color w:val="171717"/>
          <w:sz w:val="18"/>
          <w:szCs w:val="18"/>
          <w:lang w:eastAsia="en-GB"/>
        </w:rPr>
        <w:t xml:space="preserve">Through these pathfinder projects, the BIM Toolkit has been created to suit best </w:t>
      </w:r>
      <w:r w:rsidR="00BB1F05">
        <w:rPr>
          <w:rFonts w:ascii="Verdana" w:eastAsia="Times New Roman" w:hAnsi="Verdana" w:cs="Times New Roman"/>
          <w:color w:val="171717"/>
          <w:sz w:val="18"/>
          <w:szCs w:val="18"/>
          <w:lang w:eastAsia="en-GB"/>
        </w:rPr>
        <w:t>practices</w:t>
      </w:r>
      <w:r w:rsidRPr="003B0FEE">
        <w:rPr>
          <w:rFonts w:ascii="Verdana" w:eastAsia="Times New Roman" w:hAnsi="Verdana" w:cs="Times New Roman"/>
          <w:color w:val="171717"/>
          <w:sz w:val="18"/>
          <w:szCs w:val="18"/>
          <w:lang w:eastAsia="en-GB"/>
        </w:rPr>
        <w:t xml:space="preserve"> from a wide range of experiences. Click the links below to read and download the resources you need.</w:t>
      </w:r>
    </w:p>
    <w:p w14:paraId="01A6FA20" w14:textId="77777777" w:rsidR="00BB1F05" w:rsidRDefault="00BB1F05">
      <w:pPr>
        <w:rPr>
          <w:rFonts w:ascii="Verdana" w:eastAsia="Times New Roman" w:hAnsi="Verdana" w:cs="Times New Roman"/>
          <w:color w:val="171717"/>
          <w:sz w:val="18"/>
          <w:szCs w:val="18"/>
          <w:lang w:eastAsia="en-GB"/>
        </w:rPr>
      </w:pPr>
      <w:r>
        <w:rPr>
          <w:rFonts w:ascii="Verdana" w:eastAsia="Times New Roman" w:hAnsi="Verdana" w:cs="Times New Roman"/>
          <w:color w:val="171717"/>
          <w:sz w:val="18"/>
          <w:szCs w:val="18"/>
          <w:lang w:eastAsia="en-GB"/>
        </w:rPr>
        <w:br w:type="page"/>
      </w:r>
    </w:p>
    <w:p w14:paraId="563C9CC0"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p>
    <w:p w14:paraId="00E76FB9" w14:textId="77777777" w:rsidR="003B0FEE" w:rsidRPr="003B0FEE" w:rsidRDefault="003B0FEE" w:rsidP="003B0FEE">
      <w:pPr>
        <w:shd w:val="clear" w:color="auto" w:fill="FFFFFF"/>
        <w:spacing w:after="150" w:line="345" w:lineRule="atLeast"/>
        <w:textAlignment w:val="baseline"/>
        <w:outlineLvl w:val="2"/>
        <w:rPr>
          <w:rFonts w:ascii="Verdana" w:eastAsia="Times New Roman" w:hAnsi="Verdana" w:cs="Times New Roman"/>
          <w:b/>
          <w:bCs/>
          <w:color w:val="171717"/>
          <w:sz w:val="26"/>
          <w:szCs w:val="26"/>
          <w:lang w:eastAsia="en-GB"/>
        </w:rPr>
      </w:pPr>
      <w:r w:rsidRPr="003B0FEE">
        <w:rPr>
          <w:rFonts w:ascii="Verdana" w:eastAsia="Times New Roman" w:hAnsi="Verdana" w:cs="Times New Roman"/>
          <w:b/>
          <w:bCs/>
          <w:color w:val="171717"/>
          <w:sz w:val="26"/>
          <w:szCs w:val="26"/>
          <w:lang w:eastAsia="en-GB"/>
        </w:rPr>
        <w:t> </w:t>
      </w:r>
    </w:p>
    <w:p w14:paraId="49B5CA79" w14:textId="77777777" w:rsidR="003B0FEE" w:rsidRPr="003B0FEE" w:rsidRDefault="003B0FEE" w:rsidP="003B0FEE">
      <w:pPr>
        <w:shd w:val="clear" w:color="auto" w:fill="FFFFFF"/>
        <w:spacing w:after="150" w:line="375" w:lineRule="atLeast"/>
        <w:textAlignment w:val="baseline"/>
        <w:outlineLvl w:val="1"/>
        <w:rPr>
          <w:rFonts w:ascii="Verdana" w:eastAsia="Times New Roman" w:hAnsi="Verdana" w:cs="Times New Roman"/>
          <w:b/>
          <w:bCs/>
          <w:color w:val="003E74"/>
          <w:sz w:val="29"/>
          <w:szCs w:val="29"/>
          <w:lang w:eastAsia="en-GB"/>
        </w:rPr>
      </w:pPr>
      <w:r w:rsidRPr="003B0FEE">
        <w:rPr>
          <w:rFonts w:ascii="Verdana" w:eastAsia="Times New Roman" w:hAnsi="Verdana" w:cs="Times New Roman"/>
          <w:b/>
          <w:bCs/>
          <w:color w:val="003E74"/>
          <w:sz w:val="29"/>
          <w:szCs w:val="29"/>
          <w:lang w:eastAsia="en-GB"/>
        </w:rPr>
        <w:t>Toolkit documents</w:t>
      </w:r>
    </w:p>
    <w:p w14:paraId="5E255B9F" w14:textId="77777777" w:rsidR="003B0FEE" w:rsidRPr="003B0FEE" w:rsidRDefault="003B0FEE" w:rsidP="003B0FEE">
      <w:pPr>
        <w:shd w:val="clear" w:color="auto" w:fill="FFFFFF"/>
        <w:spacing w:after="150" w:line="240" w:lineRule="auto"/>
        <w:rPr>
          <w:rFonts w:ascii="Verdana" w:eastAsia="Times New Roman" w:hAnsi="Verdana" w:cs="Times New Roman"/>
          <w:color w:val="171717"/>
          <w:sz w:val="18"/>
          <w:szCs w:val="18"/>
          <w:lang w:eastAsia="en-GB"/>
        </w:rPr>
      </w:pPr>
      <w:r w:rsidRPr="003B0FEE">
        <w:rPr>
          <w:rFonts w:ascii="Verdana" w:eastAsia="Times New Roman" w:hAnsi="Verdana" w:cs="Times New Roman"/>
          <w:b/>
          <w:bCs/>
          <w:color w:val="171717"/>
          <w:sz w:val="18"/>
          <w:szCs w:val="18"/>
          <w:lang w:eastAsia="en-GB"/>
        </w:rPr>
        <w:t>***</w:t>
      </w:r>
      <w:hyperlink r:id="rId7" w:tgtFrame="_blank" w:history="1">
        <w:r w:rsidRPr="003B0FEE">
          <w:rPr>
            <w:rFonts w:ascii="Verdana" w:eastAsia="Times New Roman" w:hAnsi="Verdana" w:cs="Times New Roman"/>
            <w:b/>
            <w:bCs/>
            <w:color w:val="0072CF"/>
            <w:sz w:val="18"/>
            <w:szCs w:val="18"/>
            <w:u w:val="single"/>
            <w:lang w:eastAsia="en-GB"/>
          </w:rPr>
          <w:t>BIM Toolkit Overview </w:t>
        </w:r>
      </w:hyperlink>
      <w:r w:rsidRPr="003B0FEE">
        <w:rPr>
          <w:rFonts w:ascii="Verdana" w:eastAsia="Times New Roman" w:hAnsi="Verdana" w:cs="Times New Roman"/>
          <w:b/>
          <w:bCs/>
          <w:color w:val="171717"/>
          <w:sz w:val="18"/>
          <w:szCs w:val="18"/>
          <w:lang w:eastAsia="en-GB"/>
        </w:rPr>
        <w:t> </w:t>
      </w:r>
    </w:p>
    <w:p w14:paraId="5A38DBFF"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8" w:tgtFrame="_blank" w:history="1">
        <w:r w:rsidRPr="003B0FEE">
          <w:rPr>
            <w:rFonts w:ascii="Verdana" w:eastAsia="Times New Roman" w:hAnsi="Verdana" w:cs="Times New Roman"/>
            <w:color w:val="0072CF"/>
            <w:sz w:val="18"/>
            <w:szCs w:val="18"/>
            <w:u w:val="single"/>
            <w:lang w:eastAsia="en-GB"/>
          </w:rPr>
          <w:t>AIR Guidance</w:t>
        </w:r>
      </w:hyperlink>
    </w:p>
    <w:p w14:paraId="525C9B6E"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9" w:tgtFrame="_blank" w:history="1">
        <w:r w:rsidRPr="003B0FEE">
          <w:rPr>
            <w:rFonts w:ascii="Verdana" w:eastAsia="Times New Roman" w:hAnsi="Verdana" w:cs="Times New Roman"/>
            <w:color w:val="0072CF"/>
            <w:sz w:val="18"/>
            <w:szCs w:val="18"/>
            <w:u w:val="single"/>
            <w:lang w:eastAsia="en-GB"/>
          </w:rPr>
          <w:t>AIR Template</w:t>
        </w:r>
      </w:hyperlink>
    </w:p>
    <w:p w14:paraId="45C3A3FA"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0" w:tgtFrame="_blank" w:history="1">
        <w:r w:rsidRPr="003B0FEE">
          <w:rPr>
            <w:rFonts w:ascii="Verdana" w:eastAsia="Times New Roman" w:hAnsi="Verdana" w:cs="Times New Roman"/>
            <w:color w:val="0072CF"/>
            <w:sz w:val="18"/>
            <w:szCs w:val="18"/>
            <w:u w:val="single"/>
            <w:lang w:eastAsia="en-GB"/>
          </w:rPr>
          <w:t>BEP Guidance</w:t>
        </w:r>
      </w:hyperlink>
    </w:p>
    <w:p w14:paraId="7D767F90"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1" w:tgtFrame="_blank" w:history="1">
        <w:r w:rsidRPr="003B0FEE">
          <w:rPr>
            <w:rFonts w:ascii="Verdana" w:eastAsia="Times New Roman" w:hAnsi="Verdana" w:cs="Times New Roman"/>
            <w:color w:val="0072CF"/>
            <w:sz w:val="18"/>
            <w:szCs w:val="18"/>
            <w:u w:val="single"/>
            <w:lang w:eastAsia="en-GB"/>
          </w:rPr>
          <w:t>Pre-appointment BEP Template</w:t>
        </w:r>
      </w:hyperlink>
    </w:p>
    <w:p w14:paraId="4608BE09"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2" w:tgtFrame="_blank" w:history="1">
        <w:r w:rsidRPr="003B0FEE">
          <w:rPr>
            <w:rFonts w:ascii="Verdana" w:eastAsia="Times New Roman" w:hAnsi="Verdana" w:cs="Times New Roman"/>
            <w:color w:val="0072CF"/>
            <w:sz w:val="18"/>
            <w:szCs w:val="18"/>
            <w:u w:val="single"/>
            <w:lang w:eastAsia="en-GB"/>
          </w:rPr>
          <w:t>Delivery team's BEP Template</w:t>
        </w:r>
      </w:hyperlink>
    </w:p>
    <w:p w14:paraId="586F2986"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3" w:tgtFrame="_blank" w:history="1">
        <w:r w:rsidRPr="003B0FEE">
          <w:rPr>
            <w:rFonts w:ascii="Verdana" w:eastAsia="Times New Roman" w:hAnsi="Verdana" w:cs="Times New Roman"/>
            <w:color w:val="0072CF"/>
            <w:sz w:val="18"/>
            <w:szCs w:val="18"/>
            <w:u w:val="single"/>
            <w:lang w:eastAsia="en-GB"/>
          </w:rPr>
          <w:t>CCA Guidance</w:t>
        </w:r>
      </w:hyperlink>
      <w:r w:rsidRPr="003B0FEE">
        <w:rPr>
          <w:rFonts w:ascii="Verdana" w:eastAsia="Times New Roman" w:hAnsi="Verdana" w:cs="Times New Roman"/>
          <w:color w:val="171717"/>
          <w:sz w:val="18"/>
          <w:szCs w:val="18"/>
          <w:lang w:eastAsia="en-GB"/>
        </w:rPr>
        <w:t>          </w:t>
      </w:r>
    </w:p>
    <w:p w14:paraId="3B98D3BE"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4" w:tgtFrame="_blank" w:history="1">
        <w:r w:rsidRPr="003B0FEE">
          <w:rPr>
            <w:rFonts w:ascii="Verdana" w:eastAsia="Times New Roman" w:hAnsi="Verdana" w:cs="Times New Roman"/>
            <w:color w:val="0072CF"/>
            <w:sz w:val="18"/>
            <w:szCs w:val="18"/>
            <w:u w:val="single"/>
            <w:lang w:eastAsia="en-GB"/>
          </w:rPr>
          <w:t>CCA Template</w:t>
        </w:r>
      </w:hyperlink>
    </w:p>
    <w:p w14:paraId="71000699"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5" w:tgtFrame="_blank" w:history="1">
        <w:r w:rsidRPr="003B0FEE">
          <w:rPr>
            <w:rFonts w:ascii="Verdana" w:eastAsia="Times New Roman" w:hAnsi="Verdana" w:cs="Times New Roman"/>
            <w:color w:val="0072CF"/>
            <w:sz w:val="18"/>
            <w:szCs w:val="18"/>
            <w:u w:val="single"/>
            <w:lang w:eastAsia="en-GB"/>
          </w:rPr>
          <w:t>Content Index for</w:t>
        </w:r>
        <w:r w:rsidRPr="003B0FEE">
          <w:rPr>
            <w:rFonts w:ascii="Verdana" w:eastAsia="Times New Roman" w:hAnsi="Verdana" w:cs="Times New Roman"/>
            <w:color w:val="0072CF"/>
            <w:sz w:val="18"/>
            <w:szCs w:val="18"/>
            <w:u w:val="single"/>
            <w:lang w:eastAsia="en-GB"/>
          </w:rPr>
          <w:t xml:space="preserve"> </w:t>
        </w:r>
        <w:r w:rsidRPr="003B0FEE">
          <w:rPr>
            <w:rFonts w:ascii="Verdana" w:eastAsia="Times New Roman" w:hAnsi="Verdana" w:cs="Times New Roman"/>
            <w:color w:val="0072CF"/>
            <w:sz w:val="18"/>
            <w:szCs w:val="18"/>
            <w:u w:val="single"/>
            <w:lang w:eastAsia="en-GB"/>
          </w:rPr>
          <w:t>Universal BIM Guide</w:t>
        </w:r>
      </w:hyperlink>
    </w:p>
    <w:p w14:paraId="290A0EF9"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6" w:tgtFrame="_blank" w:history="1">
        <w:r w:rsidRPr="003B0FEE">
          <w:rPr>
            <w:rFonts w:ascii="Verdana" w:eastAsia="Times New Roman" w:hAnsi="Verdana" w:cs="Times New Roman"/>
            <w:color w:val="0072CF"/>
            <w:sz w:val="18"/>
            <w:szCs w:val="18"/>
            <w:u w:val="single"/>
            <w:lang w:eastAsia="en-GB"/>
          </w:rPr>
          <w:t>EIR Guidance</w:t>
        </w:r>
      </w:hyperlink>
    </w:p>
    <w:p w14:paraId="01ED35CF"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7" w:tgtFrame="_blank" w:history="1">
        <w:r w:rsidRPr="003B0FEE">
          <w:rPr>
            <w:rFonts w:ascii="Verdana" w:eastAsia="Times New Roman" w:hAnsi="Verdana" w:cs="Times New Roman"/>
            <w:color w:val="0072CF"/>
            <w:sz w:val="18"/>
            <w:szCs w:val="18"/>
            <w:u w:val="single"/>
            <w:lang w:eastAsia="en-GB"/>
          </w:rPr>
          <w:t>EIR Template</w:t>
        </w:r>
      </w:hyperlink>
      <w:r w:rsidRPr="003B0FEE">
        <w:rPr>
          <w:rFonts w:ascii="Verdana" w:eastAsia="Times New Roman" w:hAnsi="Verdana" w:cs="Times New Roman"/>
          <w:color w:val="171717"/>
          <w:sz w:val="18"/>
          <w:szCs w:val="18"/>
          <w:lang w:eastAsia="en-GB"/>
        </w:rPr>
        <w:t> </w:t>
      </w:r>
    </w:p>
    <w:p w14:paraId="04360764"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8" w:tgtFrame="_blank" w:history="1">
        <w:r w:rsidRPr="003B0FEE">
          <w:rPr>
            <w:rFonts w:ascii="Verdana" w:eastAsia="Times New Roman" w:hAnsi="Verdana" w:cs="Times New Roman"/>
            <w:color w:val="0072CF"/>
            <w:sz w:val="18"/>
            <w:szCs w:val="18"/>
            <w:u w:val="single"/>
            <w:lang w:eastAsia="en-GB"/>
          </w:rPr>
          <w:t>MIDP Matrix Template</w:t>
        </w:r>
      </w:hyperlink>
    </w:p>
    <w:p w14:paraId="27C63BDB"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19" w:tgtFrame="_blank" w:history="1">
        <w:r w:rsidRPr="003B0FEE">
          <w:rPr>
            <w:rFonts w:ascii="Verdana" w:eastAsia="Times New Roman" w:hAnsi="Verdana" w:cs="Times New Roman"/>
            <w:color w:val="0072CF"/>
            <w:sz w:val="18"/>
            <w:szCs w:val="18"/>
            <w:u w:val="single"/>
            <w:lang w:eastAsia="en-GB"/>
          </w:rPr>
          <w:t>National Annex Guidance</w:t>
        </w:r>
      </w:hyperlink>
    </w:p>
    <w:p w14:paraId="7AF317B0"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0" w:tgtFrame="_blank" w:history="1">
        <w:r w:rsidRPr="003B0FEE">
          <w:rPr>
            <w:rFonts w:ascii="Verdana" w:eastAsia="Times New Roman" w:hAnsi="Verdana" w:cs="Times New Roman"/>
            <w:color w:val="0072CF"/>
            <w:sz w:val="18"/>
            <w:szCs w:val="18"/>
            <w:u w:val="single"/>
            <w:lang w:eastAsia="en-GB"/>
          </w:rPr>
          <w:t>National Annex Template</w:t>
        </w:r>
      </w:hyperlink>
    </w:p>
    <w:p w14:paraId="5AE0B568"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1" w:tgtFrame="_blank" w:history="1">
        <w:r w:rsidRPr="003B0FEE">
          <w:rPr>
            <w:rFonts w:ascii="Verdana" w:eastAsia="Times New Roman" w:hAnsi="Verdana" w:cs="Times New Roman"/>
            <w:color w:val="0072CF"/>
            <w:sz w:val="18"/>
            <w:szCs w:val="18"/>
            <w:u w:val="single"/>
            <w:lang w:eastAsia="en-GB"/>
          </w:rPr>
          <w:t>OIR Guidance</w:t>
        </w:r>
      </w:hyperlink>
    </w:p>
    <w:p w14:paraId="799C3FC1"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2" w:tgtFrame="_blank" w:history="1">
        <w:r w:rsidRPr="003B0FEE">
          <w:rPr>
            <w:rFonts w:ascii="Verdana" w:eastAsia="Times New Roman" w:hAnsi="Verdana" w:cs="Times New Roman"/>
            <w:color w:val="0072CF"/>
            <w:sz w:val="18"/>
            <w:szCs w:val="18"/>
            <w:u w:val="single"/>
            <w:lang w:eastAsia="en-GB"/>
          </w:rPr>
          <w:t>OIR Template</w:t>
        </w:r>
      </w:hyperlink>
    </w:p>
    <w:p w14:paraId="7A46BB4E"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3" w:tgtFrame="_blank" w:history="1">
        <w:r w:rsidRPr="003B0FEE">
          <w:rPr>
            <w:rFonts w:ascii="Verdana" w:eastAsia="Times New Roman" w:hAnsi="Verdana" w:cs="Times New Roman"/>
            <w:color w:val="0072CF"/>
            <w:sz w:val="18"/>
            <w:szCs w:val="18"/>
            <w:u w:val="single"/>
            <w:lang w:eastAsia="en-GB"/>
          </w:rPr>
          <w:t>Part 0 Guidance</w:t>
        </w:r>
      </w:hyperlink>
      <w:r w:rsidRPr="003B0FEE">
        <w:rPr>
          <w:rFonts w:ascii="Verdana" w:eastAsia="Times New Roman" w:hAnsi="Verdana" w:cs="Times New Roman"/>
          <w:color w:val="171717"/>
          <w:sz w:val="18"/>
          <w:szCs w:val="18"/>
          <w:lang w:eastAsia="en-GB"/>
        </w:rPr>
        <w:t>         </w:t>
      </w:r>
    </w:p>
    <w:p w14:paraId="068CAAA2"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4" w:tgtFrame="_blank" w:history="1">
        <w:r w:rsidRPr="003B0FEE">
          <w:rPr>
            <w:rFonts w:ascii="Verdana" w:eastAsia="Times New Roman" w:hAnsi="Verdana" w:cs="Times New Roman"/>
            <w:color w:val="0072CF"/>
            <w:sz w:val="18"/>
            <w:szCs w:val="18"/>
            <w:u w:val="single"/>
            <w:lang w:eastAsia="en-GB"/>
          </w:rPr>
          <w:t>Part 0 Template</w:t>
        </w:r>
      </w:hyperlink>
    </w:p>
    <w:p w14:paraId="5D7AAFBD"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5" w:tgtFrame="_blank" w:history="1">
        <w:r w:rsidRPr="003B0FEE">
          <w:rPr>
            <w:rFonts w:ascii="Verdana" w:eastAsia="Times New Roman" w:hAnsi="Verdana" w:cs="Times New Roman"/>
            <w:color w:val="0072CF"/>
            <w:sz w:val="18"/>
            <w:szCs w:val="18"/>
            <w:u w:val="single"/>
            <w:lang w:eastAsia="en-GB"/>
          </w:rPr>
          <w:t>PIR Guidance</w:t>
        </w:r>
      </w:hyperlink>
    </w:p>
    <w:p w14:paraId="46B4C9EA"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6" w:tgtFrame="_blank" w:history="1">
        <w:r w:rsidRPr="003B0FEE">
          <w:rPr>
            <w:rFonts w:ascii="Verdana" w:eastAsia="Times New Roman" w:hAnsi="Verdana" w:cs="Times New Roman"/>
            <w:color w:val="0072CF"/>
            <w:sz w:val="18"/>
            <w:szCs w:val="18"/>
            <w:u w:val="single"/>
            <w:lang w:eastAsia="en-GB"/>
          </w:rPr>
          <w:t>PIR Template</w:t>
        </w:r>
      </w:hyperlink>
    </w:p>
    <w:p w14:paraId="20B2F133"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7" w:tgtFrame="_blank" w:history="1">
        <w:r w:rsidRPr="003B0FEE">
          <w:rPr>
            <w:rFonts w:ascii="Verdana" w:eastAsia="Times New Roman" w:hAnsi="Verdana" w:cs="Times New Roman"/>
            <w:color w:val="0072CF"/>
            <w:sz w:val="18"/>
            <w:szCs w:val="18"/>
            <w:u w:val="single"/>
            <w:lang w:eastAsia="en-GB"/>
          </w:rPr>
          <w:t>Responsibility Matrix Template</w:t>
        </w:r>
      </w:hyperlink>
    </w:p>
    <w:p w14:paraId="0BDBE72E" w14:textId="77777777" w:rsidR="003B0FEE" w:rsidRPr="003B0FEE" w:rsidRDefault="003B0FEE" w:rsidP="003B0FEE">
      <w:pPr>
        <w:numPr>
          <w:ilvl w:val="0"/>
          <w:numId w:val="1"/>
        </w:numPr>
        <w:shd w:val="clear" w:color="auto" w:fill="FFFFFF"/>
        <w:spacing w:before="100" w:beforeAutospacing="1" w:after="100" w:afterAutospacing="1" w:line="270" w:lineRule="atLeast"/>
        <w:ind w:left="945"/>
        <w:rPr>
          <w:rFonts w:ascii="Verdana" w:eastAsia="Times New Roman" w:hAnsi="Verdana" w:cs="Times New Roman"/>
          <w:color w:val="171717"/>
          <w:sz w:val="18"/>
          <w:szCs w:val="18"/>
          <w:lang w:eastAsia="en-GB"/>
        </w:rPr>
      </w:pPr>
      <w:hyperlink r:id="rId28" w:tgtFrame="_blank" w:history="1">
        <w:r w:rsidRPr="003B0FEE">
          <w:rPr>
            <w:rFonts w:ascii="Verdana" w:eastAsia="Times New Roman" w:hAnsi="Verdana" w:cs="Times New Roman"/>
            <w:color w:val="0072CF"/>
            <w:sz w:val="18"/>
            <w:szCs w:val="18"/>
            <w:u w:val="single"/>
            <w:lang w:eastAsia="en-GB"/>
          </w:rPr>
          <w:t>TIDP Matrix Template</w:t>
        </w:r>
      </w:hyperlink>
    </w:p>
    <w:p w14:paraId="3B5FF2C2" w14:textId="77777777" w:rsidR="00261D73" w:rsidRDefault="00261D73"/>
    <w:sectPr w:rsidR="00261D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40D91"/>
    <w:multiLevelType w:val="multilevel"/>
    <w:tmpl w:val="54AA6D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23"/>
    <w:rsid w:val="001F0F23"/>
    <w:rsid w:val="00261D73"/>
    <w:rsid w:val="003B0FEE"/>
    <w:rsid w:val="00BB1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7803"/>
  <w15:chartTrackingRefBased/>
  <w15:docId w15:val="{8747FB73-DAD5-4849-AEDF-5005F36F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B0FE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B0F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0F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B0FE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B0F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B0FEE"/>
    <w:rPr>
      <w:b/>
      <w:bCs/>
    </w:rPr>
  </w:style>
  <w:style w:type="character" w:styleId="Hyperlink">
    <w:name w:val="Hyperlink"/>
    <w:basedOn w:val="DefaultParagraphFont"/>
    <w:uiPriority w:val="99"/>
    <w:semiHidden/>
    <w:unhideWhenUsed/>
    <w:rsid w:val="003B0F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2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bb.cam.ac.uk/files/air_guidance.pdf" TargetMode="External"/><Relationship Id="rId13" Type="http://schemas.openxmlformats.org/officeDocument/2006/relationships/hyperlink" Target="https://www.cdbb.cam.ac.uk/files/cca_guidance.pdf" TargetMode="External"/><Relationship Id="rId18" Type="http://schemas.openxmlformats.org/officeDocument/2006/relationships/hyperlink" Target="https://www.cdbb.cam.ac.uk/file/midpmatrixtemplatexlsx" TargetMode="External"/><Relationship Id="rId26" Type="http://schemas.openxmlformats.org/officeDocument/2006/relationships/hyperlink" Target="https://www.cdbb.cam.ac.uk/file/pirtemplatedocx" TargetMode="External"/><Relationship Id="rId3" Type="http://schemas.openxmlformats.org/officeDocument/2006/relationships/settings" Target="settings.xml"/><Relationship Id="rId21" Type="http://schemas.openxmlformats.org/officeDocument/2006/relationships/hyperlink" Target="https://www.cdbb.cam.ac.uk/files/oir_guidance.pdf" TargetMode="External"/><Relationship Id="rId7" Type="http://schemas.openxmlformats.org/officeDocument/2006/relationships/hyperlink" Target="https://www.cdbb.cam.ac.uk/files/bim_toolkit_overview.pdf" TargetMode="External"/><Relationship Id="rId12" Type="http://schemas.openxmlformats.org/officeDocument/2006/relationships/hyperlink" Target="https://www.cdbb.cam.ac.uk/file/deliveryteamsbeptemplatedocx" TargetMode="External"/><Relationship Id="rId17" Type="http://schemas.openxmlformats.org/officeDocument/2006/relationships/hyperlink" Target="https://www.cdbb.cam.ac.uk/file/eirtemplatedocx" TargetMode="External"/><Relationship Id="rId25" Type="http://schemas.openxmlformats.org/officeDocument/2006/relationships/hyperlink" Target="https://www.cdbb.cam.ac.uk/files/pir_guidance.pdf" TargetMode="External"/><Relationship Id="rId2" Type="http://schemas.openxmlformats.org/officeDocument/2006/relationships/styles" Target="styles.xml"/><Relationship Id="rId16" Type="http://schemas.openxmlformats.org/officeDocument/2006/relationships/hyperlink" Target="https://www.cdbb.cam.ac.uk/files/eir_guidance.pdf" TargetMode="External"/><Relationship Id="rId20" Type="http://schemas.openxmlformats.org/officeDocument/2006/relationships/hyperlink" Target="https://www.cdbb.cam.ac.uk/file/nationalannextemplate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dbb.cam.ac.uk/AboutDBB/Promoting-digital-construction-Internationally/international-bim-toolkit" TargetMode="External"/><Relationship Id="rId11" Type="http://schemas.openxmlformats.org/officeDocument/2006/relationships/hyperlink" Target="https://www.cdbb.cam.ac.uk/file/pre-appointmentbeptemplatedocx" TargetMode="External"/><Relationship Id="rId24" Type="http://schemas.openxmlformats.org/officeDocument/2006/relationships/hyperlink" Target="https://www.cdbb.cam.ac.uk/file/part0templatedocx" TargetMode="External"/><Relationship Id="rId5" Type="http://schemas.openxmlformats.org/officeDocument/2006/relationships/image" Target="media/image1.png"/><Relationship Id="rId15" Type="http://schemas.openxmlformats.org/officeDocument/2006/relationships/hyperlink" Target="https://www.cdbb.cam.ac.uk/file/contentindexforuniversalbimguidedocx" TargetMode="External"/><Relationship Id="rId23" Type="http://schemas.openxmlformats.org/officeDocument/2006/relationships/hyperlink" Target="https://www.cdbb.cam.ac.uk/files/part_0_guidance.pdf" TargetMode="External"/><Relationship Id="rId28" Type="http://schemas.openxmlformats.org/officeDocument/2006/relationships/hyperlink" Target="https://www.cdbb.cam.ac.uk/file/tidpmatrixtemplatexlsx" TargetMode="External"/><Relationship Id="rId10" Type="http://schemas.openxmlformats.org/officeDocument/2006/relationships/hyperlink" Target="https://www.cdbb.cam.ac.uk/files/bep_guidance.pdf" TargetMode="External"/><Relationship Id="rId19" Type="http://schemas.openxmlformats.org/officeDocument/2006/relationships/hyperlink" Target="https://www.cdbb.cam.ac.uk/files/national_annex_guidance.pdf" TargetMode="External"/><Relationship Id="rId4" Type="http://schemas.openxmlformats.org/officeDocument/2006/relationships/webSettings" Target="webSettings.xml"/><Relationship Id="rId9" Type="http://schemas.openxmlformats.org/officeDocument/2006/relationships/hyperlink" Target="https://www.cdbb.cam.ac.uk/file/airtemplatedocx" TargetMode="External"/><Relationship Id="rId14" Type="http://schemas.openxmlformats.org/officeDocument/2006/relationships/hyperlink" Target="https://www.cdbb.cam.ac.uk/file/ccatemplatedocx" TargetMode="External"/><Relationship Id="rId22" Type="http://schemas.openxmlformats.org/officeDocument/2006/relationships/hyperlink" Target="https://www.cdbb.cam.ac.uk/file/oirtemplatedocx" TargetMode="External"/><Relationship Id="rId27" Type="http://schemas.openxmlformats.org/officeDocument/2006/relationships/hyperlink" Target="https://www.cdbb.cam.ac.uk/file/responsibilitymatrixtemplatexls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Brandin Santos, Rob</dc:creator>
  <cp:keywords/>
  <dc:description/>
  <cp:lastModifiedBy>Brandin Santos, Rob</cp:lastModifiedBy>
  <cp:revision>4</cp:revision>
  <dcterms:created xsi:type="dcterms:W3CDTF">2021-11-27T11:37:00Z</dcterms:created>
  <dcterms:modified xsi:type="dcterms:W3CDTF">2021-11-27T11:40:00Z</dcterms:modified>
</cp:coreProperties>
</file>